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9" w:name="_toc262"/>
      <w:bookmarkStart w:id="10" w:name="_Toc321988967"/>
      <w:bookmarkEnd w:id="9"/>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4336113"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0"/>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2" w:name="_toc267"/>
      <w:bookmarkStart w:id="13" w:name="_Toc321988968"/>
      <w:bookmarkEnd w:id="12"/>
      <w:r>
        <w:t>Conformance</w:t>
      </w:r>
      <w:bookmarkEnd w:id="13"/>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D26108">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5"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20"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2"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3"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4"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5"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6" w:name="_toc275"/>
      <w:bookmarkStart w:id="17" w:name="_Toc321988970"/>
      <w:bookmarkEnd w:id="16"/>
      <w:r>
        <w:t>Terms and Definitions</w:t>
      </w:r>
      <w:bookmarkEnd w:id="17"/>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8" w:name="_toc284"/>
      <w:bookmarkStart w:id="19" w:name="_Toc321988971"/>
      <w:bookmarkEnd w:id="18"/>
      <w:r>
        <w:t>Symbols</w:t>
      </w:r>
      <w:bookmarkEnd w:id="19"/>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0" w:name="_toc287"/>
      <w:bookmarkStart w:id="21" w:name="_Toc321988972"/>
      <w:bookmarkEnd w:id="20"/>
      <w:r>
        <w:t>Additional Information</w:t>
      </w:r>
      <w:bookmarkEnd w:id="21"/>
      <w:r>
        <w:t xml:space="preserve"> </w:t>
      </w:r>
    </w:p>
    <w:p w14:paraId="21BB1FBB" w14:textId="77777777" w:rsidR="002F1445" w:rsidRDefault="002F1445" w:rsidP="00D26108">
      <w:pPr>
        <w:pStyle w:val="Heading2"/>
      </w:pPr>
      <w:bookmarkStart w:id="22" w:name="_toc288"/>
      <w:bookmarkStart w:id="23" w:name="_Toc321988973"/>
      <w:bookmarkEnd w:id="22"/>
      <w:r>
        <w:t>Changes to Adopted OMG Specifications</w:t>
      </w:r>
      <w:bookmarkEnd w:id="23"/>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4" w:name="_toc291"/>
      <w:bookmarkStart w:id="25" w:name="_Toc321988974"/>
      <w:bookmarkEnd w:id="24"/>
      <w:r>
        <w:t>Acknowledgements</w:t>
      </w:r>
      <w:bookmarkEnd w:id="25"/>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2B1262">
        <w:rPr>
          <w:color w:val="FF0000"/>
        </w:rPr>
        <w:t>[ISO13606-2]</w:t>
      </w:r>
      <w:r>
        <w:t xml:space="preserve"> in 2008. The same need was identified since 2011 by the Clinical Information M</w:t>
      </w:r>
      <w:r>
        <w:t>odeling</w:t>
      </w:r>
      <w:r>
        <w:t xml:space="preserve"> Initiative (CIMI) </w:t>
      </w:r>
      <w:r w:rsidRPr="002B1262">
        <w:rPr>
          <w:color w:val="FF0000"/>
        </w:rPr>
        <w:t>[CIMI]</w:t>
      </w:r>
      <w:r>
        <w:t>, which chose the latest version of ADL/AOM as its m</w:t>
      </w:r>
      <w:r>
        <w:t>odeling</w:t>
      </w:r>
      <w:r>
        <w:t xml:space="preserve"> formalism. Independently of this lineage of development, Intermountain Healthcare developed over many years a system of domain content m</w:t>
      </w:r>
      <w:r>
        <w:t>odeling</w:t>
      </w:r>
      <w:r>
        <w:t xml:space="preserve"> known as Clinical Element Models (CEMs) </w:t>
      </w:r>
      <w:r w:rsidRPr="002B1262">
        <w:rPr>
          <w:color w:val="FF0000"/>
        </w:rPr>
        <w:t>[CEM]</w:t>
      </w:r>
      <w:r>
        <w:t xml:space="preserve"> which in its technical form and tooling approach is very close to the Archetype approach, so much so that inter</w:t>
      </w:r>
      <w:r>
        <w:t>-</w:t>
      </w:r>
      <w:r>
        <w:t xml:space="preserve">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w:t>
      </w:r>
      <w:r>
        <w:t>odeling</w:t>
      </w:r>
      <w:r>
        <w:t>’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w:t>
      </w:r>
      <w:r>
        <w:t>odeling</w:t>
      </w:r>
      <w:r>
        <w:t xml:space="preserve">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Consequently, most large system software products in the health and other domains have some kind of configuration or template building tool(s) that enable m</w:t>
      </w:r>
      <w:r>
        <w:t>odeling</w:t>
      </w:r>
      <w:r>
        <w:t xml:space="preserve">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9ED07DB" w:rsidR="00181A1B" w:rsidRDefault="00181A1B" w:rsidP="00181A1B">
      <w:r>
        <w:t xml:space="preserve">The ADL/AOM specifications published by openEHR </w:t>
      </w:r>
      <w:r w:rsidRPr="0056488C">
        <w:rPr>
          <w:color w:val="FF0000"/>
        </w:rPr>
        <w:t>[REF</w:t>
      </w:r>
      <w:r>
        <w:rPr>
          <w:color w:val="FF0000"/>
        </w:rPr>
        <w:t xml:space="preserve"> - </w:t>
      </w:r>
      <w:hyperlink r:id="rId26" w:anchor="ADL2" w:history="1">
        <w:r w:rsidRPr="00190D68">
          <w:rPr>
            <w:rStyle w:val="Hyperlink"/>
          </w:rPr>
          <w:t>http://www.openehr.org/programs/specification/releases/currentbaseline#ADL2</w:t>
        </w:r>
      </w:hyperlink>
      <w:proofErr w:type="gramStart"/>
      <w:r>
        <w:rPr>
          <w:color w:val="FF0000"/>
        </w:rPr>
        <w:t xml:space="preserve"> </w:t>
      </w:r>
      <w:r w:rsidRPr="0056488C">
        <w:rPr>
          <w:color w:val="FF0000"/>
        </w:rPr>
        <w:t>]</w:t>
      </w:r>
      <w:proofErr w:type="gramEnd"/>
      <w:r>
        <w:t>,, and later adopted in various forms by ISO and CIMI, take the following technical approach to domain content m</w:t>
      </w:r>
      <w:r>
        <w:t>odeling</w:t>
      </w:r>
      <w:r>
        <w:t xml:space="preserve">: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777777" w:rsidR="00181A1B" w:rsidRDefault="00181A1B" w:rsidP="00181A1B">
      <w:pPr>
        <w:pStyle w:val="ListParagraph"/>
        <w:numPr>
          <w:ilvl w:val="0"/>
          <w:numId w:val="23"/>
        </w:numPr>
      </w:pPr>
      <w:r>
        <w:t>Specialisation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77777777" w:rsidR="00181A1B" w:rsidRDefault="00181A1B" w:rsidP="00181A1B">
      <w:r>
        <w:t xml:space="preserve">An additional specification defines the structure and semantics of Archetype identifiers, versioning and lifecycle </w:t>
      </w:r>
      <w:r w:rsidRPr="001202CE">
        <w:rPr>
          <w:color w:val="FF0000"/>
        </w:rPr>
        <w:t xml:space="preserve">[Knowledge Artefact Identification - </w:t>
      </w:r>
      <w:hyperlink r:id="rId27" w:history="1">
        <w:r w:rsidRPr="00190D68">
          <w:rPr>
            <w:rStyle w:val="Hyperlink"/>
          </w:rPr>
          <w:t>http://www.openehr.org/releases/trunk/architecture/am/knowledge_id_system.pdf</w:t>
        </w:r>
      </w:hyperlink>
      <w:proofErr w:type="gramStart"/>
      <w:r>
        <w:t xml:space="preserve"> </w:t>
      </w:r>
      <w:r w:rsidRPr="001202CE">
        <w:rPr>
          <w:color w:val="FF0000"/>
        </w:rPr>
        <w:t>]</w:t>
      </w:r>
      <w:proofErr w:type="gramEnd"/>
      <w:r>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7777777" w:rsidR="00181A1B" w:rsidRDefault="00181A1B" w:rsidP="00181A1B">
      <w:r>
        <w:t xml:space="preserve">In openEHR, a third key function, querying, is performed using queries in the Archetype Query Language (AQL) </w:t>
      </w:r>
      <w:r w:rsidRPr="001202CE">
        <w:rPr>
          <w:color w:val="FF0000"/>
        </w:rPr>
        <w:t xml:space="preserve">[AQL </w:t>
      </w:r>
      <w:r>
        <w:t xml:space="preserve">- </w:t>
      </w:r>
      <w:hyperlink r:id="rId28" w:history="1">
        <w:r w:rsidRPr="00190D68">
          <w:rPr>
            <w:rStyle w:val="Hyperlink"/>
          </w:rPr>
          <w:t>https://openehr.atlassian.net/wiki/display/spec/Archetype+Query+Language+Description</w:t>
        </w:r>
      </w:hyperlink>
      <w:proofErr w:type="gramStart"/>
      <w:r>
        <w:t xml:space="preserve"> </w:t>
      </w:r>
      <w:r w:rsidRPr="001202CE">
        <w:rPr>
          <w:color w:val="FF0000"/>
        </w:rPr>
        <w:t>]</w:t>
      </w:r>
      <w:proofErr w:type="gramEnd"/>
      <w:r>
        <w:t>,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56488C">
        <w:rPr>
          <w:color w:val="FF0000"/>
        </w:rPr>
        <w:t>[REF</w:t>
      </w:r>
      <w:r>
        <w:rPr>
          <w:color w:val="FF0000"/>
        </w:rPr>
        <w:t xml:space="preserve"> – </w:t>
      </w:r>
      <w:hyperlink r:id="rId29" w:history="1">
        <w:r w:rsidRPr="00190D68">
          <w:rPr>
            <w:rStyle w:val="Hyperlink"/>
          </w:rPr>
          <w:t>http://www.openEHR.org/ckm</w:t>
        </w:r>
      </w:hyperlink>
      <w:proofErr w:type="gramStart"/>
      <w:r>
        <w:rPr>
          <w:color w:val="FF0000"/>
        </w:rPr>
        <w:t xml:space="preserve"> </w:t>
      </w:r>
      <w:r w:rsidRPr="0056488C">
        <w:rPr>
          <w:color w:val="FF0000"/>
        </w:rPr>
        <w:t>]</w:t>
      </w:r>
      <w:proofErr w:type="gramEnd"/>
      <w:r>
        <w:t>. 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777777" w:rsidR="00181A1B" w:rsidRPr="009045BD" w:rsidRDefault="00181A1B" w:rsidP="00181A1B">
      <w:r>
        <w:t xml:space="preserve">The Intermountain internal CEM repository </w:t>
      </w:r>
      <w:r w:rsidRPr="001202CE">
        <w:rPr>
          <w:color w:val="FF0000"/>
        </w:rPr>
        <w:t>[http://www.clinicalelement.com</w:t>
      </w:r>
      <w:proofErr w:type="gramStart"/>
      <w:r w:rsidRPr="001202CE">
        <w:rPr>
          <w:color w:val="FF0000"/>
        </w:rPr>
        <w:t>/ ]</w:t>
      </w:r>
      <w:proofErr w:type="gramEnd"/>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bookmarkStart w:id="26" w:name="_GoBack"/>
      <w:bookmarkEnd w:id="26"/>
    </w:p>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7"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7"/>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8" w:name="_Toc275177483"/>
      <w:r>
        <w:t>$</w:t>
      </w:r>
      <w:proofErr w:type="gramStart"/>
      <w:r>
        <w:t>dp</w:t>
      </w:r>
      <w:r w:rsidR="00DE1138">
        <w:t>2</w:t>
      </w:r>
      <w:bookmarkEnd w:id="28"/>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9" w:name="_Toc275177484"/>
      <w:r>
        <w:t>$</w:t>
      </w:r>
      <w:proofErr w:type="gramStart"/>
      <w:r>
        <w:t>bookmark.create</w:t>
      </w:r>
      <w:proofErr w:type="gramEnd"/>
      <w:r>
        <w:t>($obj2</w:t>
      </w:r>
      <w:r w:rsidR="001F24CC" w:rsidRPr="001F24CC">
        <w:t>.ID,  $dp</w:t>
      </w:r>
      <w:r w:rsidR="00DE1138">
        <w:t>3</w:t>
      </w:r>
      <w:r w:rsidR="001F24CC" w:rsidRPr="001F24CC">
        <w:t>)</w:t>
      </w:r>
      <w:bookmarkEnd w:id="29"/>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30" w:name="_Toc275177485"/>
      <w:r w:rsidRPr="001F24CC">
        <w:t>$</w:t>
      </w:r>
      <w:proofErr w:type="gramStart"/>
      <w:r w:rsidRPr="001F24CC">
        <w:t>dp</w:t>
      </w:r>
      <w:r w:rsidR="00DE1138">
        <w:t>4</w:t>
      </w:r>
      <w:bookmarkEnd w:id="30"/>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1"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1"/>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2" w:name="_Toc275177487"/>
      <w:r>
        <w:t>$</w:t>
      </w:r>
      <w:proofErr w:type="gramStart"/>
      <w:r>
        <w:t>dp</w:t>
      </w:r>
      <w:r w:rsidR="00DE1138">
        <w:t>6</w:t>
      </w:r>
      <w:bookmarkEnd w:id="32"/>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3" w:name="aRefHeading91"/>
      <w:bookmarkStart w:id="34" w:name="_Toc364003794"/>
      <w:bookmarkStart w:id="35" w:name="_Toc410399271"/>
      <w:r w:rsidRPr="007B4D6D">
        <w:t>Introduction</w:t>
      </w:r>
      <w:bookmarkStart w:id="36" w:name="a170324a0131132731629974487333307743"/>
      <w:bookmarkEnd w:id="33"/>
      <w:bookmarkEnd w:id="34"/>
      <w:bookmarkEnd w:id="35"/>
      <w:bookmarkEnd w:id="36"/>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7" w:name="aRefHeading911"/>
      <w:bookmarkStart w:id="38" w:name="_Toc198724010"/>
      <w:bookmarkStart w:id="39" w:name="_Toc364003795"/>
      <w:bookmarkStart w:id="40" w:name="_Ref407180085"/>
      <w:bookmarkStart w:id="41" w:name="_Ref407180588"/>
      <w:bookmarkStart w:id="42" w:name="_Toc410399272"/>
      <w:r>
        <w:t>AML</w:t>
      </w:r>
      <w:r w:rsidRPr="00E041D4">
        <w:t xml:space="preserve"> </w:t>
      </w:r>
      <w:bookmarkStart w:id="43" w:name="a170324a01311329677689454545336120"/>
      <w:bookmarkEnd w:id="37"/>
      <w:bookmarkEnd w:id="43"/>
      <w:r>
        <w:t>Provisioning Context</w:t>
      </w:r>
      <w:bookmarkEnd w:id="38"/>
      <w:bookmarkEnd w:id="39"/>
      <w:bookmarkEnd w:id="40"/>
      <w:bookmarkEnd w:id="41"/>
      <w:bookmarkEnd w:id="42"/>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4" w:name="_Ref325072186"/>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w:instrText>
      </w:r>
      <w:r w:rsidR="00F85A33">
        <w:instrText xml:space="preserve"> ARABIC \s 1 </w:instrText>
      </w:r>
      <w:r w:rsidR="00F85A33">
        <w:fldChar w:fldCharType="separate"/>
      </w:r>
      <w:r w:rsidR="00461F53">
        <w:rPr>
          <w:noProof/>
        </w:rPr>
        <w:t>1</w:t>
      </w:r>
      <w:r w:rsidR="00F85A33">
        <w:rPr>
          <w:noProof/>
        </w:rPr>
        <w:fldChar w:fldCharType="end"/>
      </w:r>
      <w:bookmarkEnd w:id="44"/>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2</w:t>
      </w:r>
      <w:r w:rsidR="00F85A33">
        <w:rPr>
          <w:noProof/>
        </w:rPr>
        <w:fldChar w:fldCharType="end"/>
      </w:r>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5" w:name="_Toc325071365"/>
      <w:bookmarkStart w:id="46" w:name="_Toc325071366"/>
      <w:bookmarkStart w:id="47" w:name="_Toc325071367"/>
      <w:bookmarkStart w:id="48" w:name="_Toc325071375"/>
      <w:bookmarkStart w:id="49" w:name="_Toc325071384"/>
      <w:bookmarkStart w:id="50" w:name="_Toc325071385"/>
      <w:bookmarkStart w:id="51" w:name="_Toc325071386"/>
      <w:bookmarkStart w:id="52" w:name="aRefHeading912"/>
      <w:bookmarkStart w:id="53" w:name="_Toc198724011"/>
      <w:bookmarkStart w:id="54" w:name="_Toc364003796"/>
      <w:bookmarkStart w:id="55" w:name="_Toc410399273"/>
      <w:bookmarkEnd w:id="45"/>
      <w:bookmarkEnd w:id="46"/>
      <w:bookmarkEnd w:id="47"/>
      <w:bookmarkEnd w:id="48"/>
      <w:bookmarkEnd w:id="49"/>
      <w:bookmarkEnd w:id="50"/>
      <w:bookmarkEnd w:id="51"/>
      <w:r w:rsidRPr="00E041D4">
        <w:t xml:space="preserve">Transformation </w:t>
      </w:r>
      <w:bookmarkStart w:id="56" w:name="a170324a013113296778780172006536250"/>
      <w:bookmarkEnd w:id="52"/>
      <w:bookmarkEnd w:id="53"/>
      <w:bookmarkEnd w:id="54"/>
      <w:bookmarkEnd w:id="55"/>
      <w:bookmarkEnd w:id="56"/>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7"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8" w:name="_Ref193446611"/>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3</w:t>
      </w:r>
      <w:r w:rsidR="00F85A33">
        <w:rPr>
          <w:noProof/>
        </w:rPr>
        <w:fldChar w:fldCharType="end"/>
      </w:r>
      <w:bookmarkEnd w:id="58"/>
      <w:r>
        <w:t xml:space="preserve"> AML Transformation Disjunction and Inheritance</w:t>
      </w:r>
      <w:bookmarkEnd w:id="57"/>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9"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60" w:name="_Ref193446673"/>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4</w:t>
      </w:r>
      <w:r w:rsidR="00F85A33">
        <w:rPr>
          <w:noProof/>
        </w:rPr>
        <w:fldChar w:fldCharType="end"/>
      </w:r>
      <w:bookmarkEnd w:id="60"/>
      <w:r>
        <w:t xml:space="preserve"> AML Transformation Mapping Notation Overview</w:t>
      </w:r>
      <w:bookmarkEnd w:id="59"/>
    </w:p>
    <w:p w14:paraId="60CC4E0F" w14:textId="77777777" w:rsidR="00160F97" w:rsidRPr="00E041D4" w:rsidRDefault="00160F97" w:rsidP="00D26108">
      <w:pPr>
        <w:pStyle w:val="Heading3"/>
      </w:pPr>
      <w:bookmarkStart w:id="61" w:name="aRefHeading913"/>
      <w:bookmarkStart w:id="62" w:name="_Toc198724012"/>
      <w:bookmarkStart w:id="63" w:name="_Toc364003797"/>
      <w:bookmarkStart w:id="64" w:name="_Toc410399274"/>
      <w:r w:rsidRPr="00E041D4">
        <w:t>Platf</w:t>
      </w:r>
      <w:r>
        <w:t>o</w:t>
      </w:r>
      <w:r w:rsidRPr="00E041D4">
        <w:t>rm</w:t>
      </w:r>
      <w:r>
        <w:t xml:space="preserve"> </w:t>
      </w:r>
      <w:r w:rsidRPr="00E041D4">
        <w:t>Binding</w:t>
      </w:r>
      <w:bookmarkStart w:id="65" w:name="a170324a013113296780126887883706251"/>
      <w:bookmarkEnd w:id="61"/>
      <w:bookmarkEnd w:id="62"/>
      <w:bookmarkEnd w:id="63"/>
      <w:bookmarkEnd w:id="64"/>
      <w:bookmarkEnd w:id="65"/>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6" w:name="a170324a01311327235795617629748300100"/>
      <w:bookmarkEnd w:id="66"/>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7"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8" w:name="_Ref193447000"/>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5</w:t>
      </w:r>
      <w:r w:rsidR="00F85A33">
        <w:rPr>
          <w:noProof/>
        </w:rPr>
        <w:fldChar w:fldCharType="end"/>
      </w:r>
      <w:bookmarkEnd w:id="68"/>
      <w:r>
        <w:t xml:space="preserve"> «</w:t>
      </w:r>
      <w:r>
        <w:rPr>
          <w:rFonts w:eastAsia="Times"/>
        </w:rPr>
        <w:t>ArchetypeLibrary</w:t>
      </w:r>
      <w:r>
        <w:t>» Mapping Overview</w:t>
      </w:r>
      <w:bookmarkEnd w:id="67"/>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9"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70" w:name="_Ref193447048"/>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w:instrText>
      </w:r>
      <w:r w:rsidR="00F85A33">
        <w:instrText xml:space="preserve">\s 1 </w:instrText>
      </w:r>
      <w:r w:rsidR="00F85A33">
        <w:fldChar w:fldCharType="separate"/>
      </w:r>
      <w:r w:rsidR="00461F53">
        <w:rPr>
          <w:noProof/>
        </w:rPr>
        <w:t>6</w:t>
      </w:r>
      <w:r w:rsidR="00F85A33">
        <w:rPr>
          <w:noProof/>
        </w:rPr>
        <w:fldChar w:fldCharType="end"/>
      </w:r>
      <w:bookmarkEnd w:id="70"/>
      <w:r>
        <w:t xml:space="preserve"> «</w:t>
      </w:r>
      <w:r>
        <w:rPr>
          <w:rFonts w:eastAsia="Times"/>
        </w:rPr>
        <w:t>Archetype</w:t>
      </w:r>
      <w:r>
        <w:t>» Mapping Overview</w:t>
      </w:r>
      <w:bookmarkEnd w:id="69"/>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1"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2" w:name="_Ref193447091"/>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7</w:t>
      </w:r>
      <w:r w:rsidR="00F85A33">
        <w:rPr>
          <w:noProof/>
        </w:rPr>
        <w:fldChar w:fldCharType="end"/>
      </w:r>
      <w:bookmarkEnd w:id="72"/>
      <w:r>
        <w:t xml:space="preserve"> Terminology Definition Mapping Overview</w:t>
      </w:r>
      <w:bookmarkEnd w:id="71"/>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3"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8</w:t>
      </w:r>
      <w:r w:rsidR="00F85A33">
        <w:rPr>
          <w:noProof/>
        </w:rPr>
        <w:fldChar w:fldCharType="end"/>
      </w:r>
      <w:r>
        <w:t xml:space="preserve"> Terminology Binding Mapping Overview</w:t>
      </w:r>
      <w:bookmarkEnd w:id="73"/>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4"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9</w:t>
      </w:r>
      <w:r w:rsidR="00F85A33">
        <w:rPr>
          <w:noProof/>
        </w:rPr>
        <w:fldChar w:fldCharType="end"/>
      </w:r>
      <w:r>
        <w:t xml:space="preserve"> </w:t>
      </w:r>
      <w:bookmarkEnd w:id="74"/>
      <w:r>
        <w:t>Local Value-Sets</w:t>
      </w:r>
    </w:p>
    <w:p w14:paraId="0EFE78D7" w14:textId="77777777" w:rsidR="00160F97" w:rsidRDefault="00160F97" w:rsidP="00160F97">
      <w:pPr>
        <w:pStyle w:val="BodyText"/>
        <w:jc w:val="center"/>
      </w:pPr>
      <w:bookmarkStart w:id="75"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6" w:name="_Ref193447343"/>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10</w:t>
      </w:r>
      <w:r w:rsidR="00F85A33">
        <w:rPr>
          <w:noProof/>
        </w:rPr>
        <w:fldChar w:fldCharType="end"/>
      </w:r>
      <w:bookmarkEnd w:id="76"/>
      <w:r>
        <w:t xml:space="preserve"> </w:t>
      </w:r>
      <w:bookmarkEnd w:id="75"/>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7"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8" w:name="_Ref193447482"/>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11</w:t>
      </w:r>
      <w:r w:rsidR="00F85A33">
        <w:rPr>
          <w:noProof/>
        </w:rPr>
        <w:fldChar w:fldCharType="end"/>
      </w:r>
      <w:bookmarkEnd w:id="78"/>
      <w:r>
        <w:t xml:space="preserve"> </w:t>
      </w:r>
      <w:bookmarkEnd w:id="77"/>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9"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80" w:name="_Ref193447484"/>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w:instrText>
      </w:r>
      <w:r w:rsidR="00F85A33">
        <w:instrText xml:space="preserve">ARABIC \s 1 </w:instrText>
      </w:r>
      <w:r w:rsidR="00F85A33">
        <w:fldChar w:fldCharType="separate"/>
      </w:r>
      <w:r w:rsidR="00461F53">
        <w:rPr>
          <w:noProof/>
        </w:rPr>
        <w:t>12</w:t>
      </w:r>
      <w:r w:rsidR="00F85A33">
        <w:rPr>
          <w:noProof/>
        </w:rPr>
        <w:fldChar w:fldCharType="end"/>
      </w:r>
      <w:bookmarkEnd w:id="80"/>
      <w:r>
        <w:t xml:space="preserve"> </w:t>
      </w:r>
      <w:bookmarkEnd w:id="79"/>
      <w:r>
        <w:t>Primitive Constraints</w:t>
      </w:r>
    </w:p>
    <w:p w14:paraId="3339C492" w14:textId="77777777" w:rsidR="00160F97" w:rsidRPr="00E041D4" w:rsidRDefault="00160F97" w:rsidP="00D26108">
      <w:pPr>
        <w:pStyle w:val="Heading2"/>
      </w:pPr>
      <w:bookmarkStart w:id="81" w:name="a170324a013113281219487652032451790"/>
      <w:bookmarkEnd w:id="81"/>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2" w:name="_Ref325072655"/>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w:instrText>
      </w:r>
      <w:r w:rsidR="00F85A33">
        <w:instrText xml:space="preserve">EQ Figure \* ARABIC \s 1 </w:instrText>
      </w:r>
      <w:r w:rsidR="00F85A33">
        <w:fldChar w:fldCharType="separate"/>
      </w:r>
      <w:r w:rsidR="00461F53">
        <w:rPr>
          <w:noProof/>
        </w:rPr>
        <w:t>13</w:t>
      </w:r>
      <w:r w:rsidR="00F85A33">
        <w:rPr>
          <w:noProof/>
        </w:rPr>
        <w:fldChar w:fldCharType="end"/>
      </w:r>
      <w:bookmarkEnd w:id="82"/>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3" w:name="_Ref325072729"/>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14</w:t>
      </w:r>
      <w:r w:rsidR="00F85A33">
        <w:rPr>
          <w:noProof/>
        </w:rPr>
        <w:fldChar w:fldCharType="end"/>
      </w:r>
      <w:bookmarkEnd w:id="83"/>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4" w:name="_Ref325072833"/>
      <w:r>
        <w:t xml:space="preserve">Figure </w:t>
      </w:r>
      <w:r w:rsidR="00F85A33">
        <w:fldChar w:fldCharType="begin"/>
      </w:r>
      <w:r w:rsidR="00F85A33">
        <w:instrText xml:space="preserve"> STYLEREF 1 \s </w:instrText>
      </w:r>
      <w:r w:rsidR="00F85A33">
        <w:fldChar w:fldCharType="separate"/>
      </w:r>
      <w:r w:rsidR="00461F53">
        <w:rPr>
          <w:noProof/>
        </w:rPr>
        <w:t>11</w:t>
      </w:r>
      <w:r w:rsidR="00F85A33">
        <w:rPr>
          <w:noProof/>
        </w:rPr>
        <w:fldChar w:fldCharType="end"/>
      </w:r>
      <w:r>
        <w:noBreakHyphen/>
      </w:r>
      <w:r w:rsidR="00F85A33">
        <w:fldChar w:fldCharType="begin"/>
      </w:r>
      <w:r w:rsidR="00F85A33">
        <w:instrText xml:space="preserve"> SEQ Figure \* ARABIC \s 1 </w:instrText>
      </w:r>
      <w:r w:rsidR="00F85A33">
        <w:fldChar w:fldCharType="separate"/>
      </w:r>
      <w:r w:rsidR="00461F53">
        <w:rPr>
          <w:noProof/>
        </w:rPr>
        <w:t>15</w:t>
      </w:r>
      <w:r w:rsidR="00F85A33">
        <w:rPr>
          <w:noProof/>
        </w:rPr>
        <w:fldChar w:fldCharType="end"/>
      </w:r>
      <w:bookmarkEnd w:id="84"/>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5"/>
      <w:footerReference w:type="default" r:id="rId46"/>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3B705C3B" w14:textId="77777777" w:rsidR="00461F53" w:rsidRDefault="00461F5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461F53" w:rsidRDefault="00461F53" w:rsidP="000B2E69">
      <w:r>
        <w:separator/>
      </w:r>
    </w:p>
  </w:endnote>
  <w:endnote w:type="continuationSeparator" w:id="0">
    <w:p w14:paraId="7BD954B2" w14:textId="77777777" w:rsidR="00461F53" w:rsidRDefault="00461F5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461F53" w:rsidRPr="00685E82" w14:paraId="2114842C" w14:textId="77777777" w:rsidTr="00685E82">
      <w:tc>
        <w:tcPr>
          <w:tcW w:w="397" w:type="pct"/>
          <w:tcBorders>
            <w:bottom w:val="nil"/>
            <w:right w:val="single" w:sz="4" w:space="0" w:color="BFBFBF"/>
          </w:tcBorders>
        </w:tcPr>
        <w:p w14:paraId="03EE009D" w14:textId="77777777" w:rsidR="00461F53" w:rsidRPr="00685E82" w:rsidRDefault="00461F5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85A33">
            <w:rPr>
              <w:noProof/>
              <w:color w:val="595959" w:themeColor="text1" w:themeTint="A6"/>
            </w:rPr>
            <w:t>62</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461F53" w:rsidRPr="00685E82" w:rsidRDefault="00F85A33"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461F53">
                <w:rPr>
                  <w:color w:val="595959" w:themeColor="text1" w:themeTint="A6"/>
                </w:rPr>
                <w:t xml:space="preserve"> Archetype Modeling Language (AML), 1.0</w:t>
              </w:r>
            </w:sdtContent>
          </w:sdt>
        </w:p>
      </w:tc>
    </w:tr>
  </w:tbl>
  <w:p w14:paraId="24A1E2A8" w14:textId="5A45F408" w:rsidR="00461F53" w:rsidRDefault="00461F5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461F53" w:rsidRPr="009E4072" w14:paraId="14F3F16F" w14:textId="77777777" w:rsidTr="00685E82">
      <w:trPr>
        <w:trHeight w:val="73"/>
      </w:trPr>
      <w:tc>
        <w:tcPr>
          <w:tcW w:w="4565" w:type="pct"/>
          <w:tcBorders>
            <w:bottom w:val="nil"/>
            <w:right w:val="single" w:sz="4" w:space="0" w:color="BFBFBF"/>
          </w:tcBorders>
        </w:tcPr>
        <w:p w14:paraId="01F605AC" w14:textId="7ACF2DA3" w:rsidR="00461F53" w:rsidRPr="009E4072" w:rsidRDefault="00F85A33"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461F53" w:rsidRPr="009E4072">
                <w:rPr>
                  <w:rFonts w:eastAsia="Arial"/>
                  <w:color w:val="000000"/>
                  <w:lang w:eastAsia="ja-JP"/>
                </w:rPr>
                <w:t xml:space="preserve"> Archetype Modeling Language (AML)</w:t>
              </w:r>
              <w:r w:rsidR="00461F53">
                <w:rPr>
                  <w:color w:val="595959" w:themeColor="text1" w:themeTint="A6"/>
                </w:rPr>
                <w:t>, 1.0</w:t>
              </w:r>
            </w:sdtContent>
          </w:sdt>
        </w:p>
      </w:tc>
      <w:tc>
        <w:tcPr>
          <w:tcW w:w="435" w:type="pct"/>
          <w:tcBorders>
            <w:left w:val="single" w:sz="4" w:space="0" w:color="BFBFBF"/>
            <w:bottom w:val="nil"/>
          </w:tcBorders>
        </w:tcPr>
        <w:p w14:paraId="56444ABC" w14:textId="77777777" w:rsidR="00461F53" w:rsidRPr="009E4072" w:rsidRDefault="00461F5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85A33">
            <w:rPr>
              <w:noProof/>
              <w:color w:val="595959" w:themeColor="text1" w:themeTint="A6"/>
            </w:rPr>
            <w:t>61</w:t>
          </w:r>
          <w:r w:rsidRPr="009E4072">
            <w:rPr>
              <w:color w:val="595959" w:themeColor="text1" w:themeTint="A6"/>
            </w:rPr>
            <w:fldChar w:fldCharType="end"/>
          </w:r>
        </w:p>
      </w:tc>
    </w:tr>
  </w:tbl>
  <w:p w14:paraId="01BFDDB9" w14:textId="42B3DB4B" w:rsidR="00461F53" w:rsidRDefault="00461F53" w:rsidP="00685E82">
    <w:pPr>
      <w:pStyle w:val="Footer"/>
      <w:framePr w:w="9387" w:wrap="around" w:vAnchor="text" w:hAnchor="page" w:x="1408" w:y="-172"/>
      <w:ind w:right="360" w:firstLine="360"/>
      <w:rPr>
        <w:rStyle w:val="PageNumber"/>
      </w:rPr>
    </w:pPr>
  </w:p>
  <w:p w14:paraId="1202F5AC" w14:textId="77777777" w:rsidR="00461F53" w:rsidRDefault="00461F5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461F53" w:rsidRDefault="00461F53" w:rsidP="000B2E69">
      <w:r>
        <w:separator/>
      </w:r>
    </w:p>
  </w:footnote>
  <w:footnote w:type="continuationSeparator" w:id="0">
    <w:p w14:paraId="6437D233" w14:textId="77777777" w:rsidR="00461F53" w:rsidRDefault="00461F5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7A05097C" w14:textId="77777777">
      <w:trPr>
        <w:trHeight w:val="720"/>
      </w:trPr>
      <w:tc>
        <w:tcPr>
          <w:tcW w:w="11735" w:type="dxa"/>
        </w:tcPr>
        <w:p w14:paraId="38BB06EA" w14:textId="77777777" w:rsidR="00461F53" w:rsidRDefault="00461F5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0285B46E" w14:textId="77777777">
      <w:trPr>
        <w:trHeight w:val="720"/>
      </w:trPr>
      <w:tc>
        <w:tcPr>
          <w:tcW w:w="11735" w:type="dxa"/>
        </w:tcPr>
        <w:p w14:paraId="221108A7" w14:textId="77777777" w:rsidR="00461F53" w:rsidRDefault="00461F5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www.omg.org/spec/OCL/2.4/" TargetMode="External"/><Relationship Id="rId23" Type="http://schemas.openxmlformats.org/officeDocument/2006/relationships/hyperlink" Target="http://www.omg.org/spec/ODM/1.1/" TargetMode="External"/><Relationship Id="rId24" Type="http://schemas.openxmlformats.org/officeDocument/2006/relationships/hyperlink" Target="http://www.omg.org/spec/QVT/1.2/Beta/" TargetMode="External"/><Relationship Id="rId25" Type="http://schemas.openxmlformats.org/officeDocument/2006/relationships/hyperlink" Target="http://www.omg.org/spec/UML/2.5/Beta2/" TargetMode="External"/><Relationship Id="rId26" Type="http://schemas.openxmlformats.org/officeDocument/2006/relationships/hyperlink" Target="http://www.openehr.org/programs/specification/releases/currentbaseline" TargetMode="External"/><Relationship Id="rId27" Type="http://schemas.openxmlformats.org/officeDocument/2006/relationships/hyperlink" Target="http://www.openehr.org/releases/trunk/architecture/am/knowledge_id_system.pdf" TargetMode="External"/><Relationship Id="rId28" Type="http://schemas.openxmlformats.org/officeDocument/2006/relationships/hyperlink" Target="https://openehr.atlassian.net/wiki/display/spec/Archetype+Query+Language+Description" TargetMode="External"/><Relationship Id="rId29" Type="http://schemas.openxmlformats.org/officeDocument/2006/relationships/hyperlink" Target="http://www.openEHR.org/ckm"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D96213-306A-4848-AA59-24983E828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62</Pages>
  <Words>17649</Words>
  <Characters>100600</Characters>
  <Application>Microsoft Macintosh Word</Application>
  <DocSecurity>0</DocSecurity>
  <Lines>838</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118013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19</cp:revision>
  <cp:lastPrinted>2014-10-20T20:55:00Z</cp:lastPrinted>
  <dcterms:created xsi:type="dcterms:W3CDTF">2015-05-12T19:46:00Z</dcterms:created>
  <dcterms:modified xsi:type="dcterms:W3CDTF">2015-05-14T13:52:00Z</dcterms:modified>
  <cp:category/>
</cp:coreProperties>
</file>